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Минобрнауки России от 27.12.2016 N 1663</w:t>
              <w:br/>
              <w:t xml:space="preserve">(ред. от 15.08.2022)</w:t>
              <w:br/>
              <w:t xml:space="preserve">"Об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br/>
              <w:t xml:space="preserve">(Зарегистрировано в Минюсте России 24.01.2017 N 45376)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января 2017 г. N 45376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декабря 2016 г. N 1663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НАЗНАЧЕНИЯ ГОСУДАРСТВЕННОЙ АКАДЕМИЧЕСКОЙ СТИПЕНДИИ</w:t>
      </w:r>
    </w:p>
    <w:p>
      <w:pPr>
        <w:pStyle w:val="2"/>
        <w:jc w:val="center"/>
      </w:pPr>
      <w:r>
        <w:rPr>
          <w:sz w:val="20"/>
        </w:rPr>
        <w:t xml:space="preserve">И (ИЛИ) ГОСУДАРСТВЕННОЙ СОЦИАЛЬНОЙ СТИПЕНДИИ СТУДЕНТАМ,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ГОСУДАРСТВЕННОЙ</w:t>
      </w:r>
    </w:p>
    <w:p>
      <w:pPr>
        <w:pStyle w:val="2"/>
        <w:jc w:val="center"/>
      </w:pPr>
      <w:r>
        <w:rPr>
          <w:sz w:val="20"/>
        </w:rPr>
        <w:t xml:space="preserve">СТИПЕНДИИ АСПИРАНТАМ, ОРДИНАТОРАМ, АССИСТЕНТАМ-СТАЖЕРАМ,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ВЫПЛАТЫ СТИПЕНДИЙ</w:t>
      </w:r>
    </w:p>
    <w:p>
      <w:pPr>
        <w:pStyle w:val="2"/>
        <w:jc w:val="center"/>
      </w:pPr>
      <w:r>
        <w:rPr>
          <w:sz w:val="20"/>
        </w:rPr>
        <w:t xml:space="preserve">СЛУШАТЕЛЯМ ПОДГОТОВИТЕЛЬНЫХ ОТДЕЛЕНИЙ ФЕДЕРАЛЬНЫХ</w:t>
      </w:r>
    </w:p>
    <w:p>
      <w:pPr>
        <w:pStyle w:val="2"/>
        <w:jc w:val="center"/>
      </w:pPr>
      <w:r>
        <w:rPr>
          <w:sz w:val="20"/>
        </w:rPr>
        <w:t xml:space="preserve">ГОСУДАРСТВЕННЫХ ОБРАЗОВАТЕЛЬНЫХ ОРГАНИЗАЦИЙ ВЫСШЕГО</w:t>
      </w:r>
    </w:p>
    <w:p>
      <w:pPr>
        <w:pStyle w:val="2"/>
        <w:jc w:val="center"/>
      </w:pPr>
      <w:r>
        <w:rPr>
          <w:sz w:val="20"/>
        </w:rPr>
        <w:t xml:space="preserve">ОБРАЗОВАНИЯ, ОБУЧАЮЩИМСЯ ЗА СЧЕТ БЮДЖЕТНЫХ</w:t>
      </w:r>
    </w:p>
    <w:p>
      <w:pPr>
        <w:pStyle w:val="2"/>
        <w:jc w:val="center"/>
      </w:pPr>
      <w:r>
        <w:rPr>
          <w:sz w:val="20"/>
        </w:rPr>
        <w:t xml:space="preserve">АССИГНОВАНИЙ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02.04.2018 </w:t>
            </w:r>
            <w:hyperlink w:history="0" r:id="rId7"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N 227</w:t>
              </w:r>
            </w:hyperlink>
            <w:r>
              <w:rPr>
                <w:sz w:val="20"/>
                <w:color w:val="392c69"/>
              </w:rPr>
              <w:t xml:space="preserve">,</w:t>
            </w:r>
          </w:p>
          <w:p>
            <w:pPr>
              <w:pStyle w:val="0"/>
              <w:jc w:val="center"/>
            </w:pPr>
            <w:r>
              <w:rPr>
                <w:sz w:val="20"/>
                <w:color w:val="392c69"/>
              </w:rPr>
              <w:t xml:space="preserve">от 05.08.2021 </w:t>
            </w:r>
            <w:hyperlink w:history="0" r:id="rId8" w:tooltip="Приказ Минобрнауки России от 05.08.2021 N 712 (ред. от 01.02.2022) &quot;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 N 296 и от 22 июня 2015 г. N 607&quot; (Зарегистрировано в Минюсте России 04.10.2021 N 65253) {КонсультантПлюс}">
              <w:r>
                <w:rPr>
                  <w:sz w:val="20"/>
                  <w:color w:val="0000ff"/>
                </w:rPr>
                <w:t xml:space="preserve">N 712</w:t>
              </w:r>
            </w:hyperlink>
            <w:r>
              <w:rPr>
                <w:sz w:val="20"/>
                <w:color w:val="392c69"/>
              </w:rPr>
              <w:t xml:space="preserve">, от 15.08.2022 </w:t>
            </w:r>
            <w:hyperlink w:history="0" r:id="rId9" w:tooltip="Приказ Минобрнауки России от 15.08.2022 N 777 &quo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КонсультантПлюс}">
              <w:r>
                <w:rPr>
                  <w:sz w:val="20"/>
                  <w:color w:val="0000ff"/>
                </w:rPr>
                <w:t xml:space="preserve">N 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3</w:t>
        </w:r>
      </w:hyperlink>
      <w:r>
        <w:rPr>
          <w:sz w:val="20"/>
        </w:rPr>
        <w:t xml:space="preserve">, </w:t>
      </w:r>
      <w:hyperlink w:history="0" r:id="rId1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4</w:t>
        </w:r>
      </w:hyperlink>
      <w:r>
        <w:rPr>
          <w:sz w:val="20"/>
        </w:rPr>
        <w:t xml:space="preserve">, </w:t>
      </w:r>
      <w:hyperlink w:history="0" r:id="rId1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6</w:t>
        </w:r>
      </w:hyperlink>
      <w:r>
        <w:rPr>
          <w:sz w:val="20"/>
        </w:rPr>
        <w:t xml:space="preserve"> и </w:t>
      </w:r>
      <w:hyperlink w:history="0" r:id="rId1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14 статьи 36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r>
        <w:rPr>
          <w:sz w:val="20"/>
        </w:rPr>
        <w:t xml:space="preserve">пунктами 5.2.22</w:t>
      </w:r>
      <w:r>
        <w:rPr>
          <w:sz w:val="20"/>
        </w:rPr>
        <w:t xml:space="preserve">, </w:t>
      </w:r>
      <w:r>
        <w:rPr>
          <w:sz w:val="20"/>
        </w:rPr>
        <w:t xml:space="preserve">5.2.23</w:t>
      </w:r>
      <w:r>
        <w:rPr>
          <w:sz w:val="20"/>
        </w:rPr>
        <w:t xml:space="preserve"> и </w:t>
      </w:r>
      <w:r>
        <w:rPr>
          <w:sz w:val="20"/>
        </w:rPr>
        <w:t xml:space="preserve">5.2.24</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pPr>
        <w:pStyle w:val="0"/>
        <w:spacing w:before="200" w:line-rule="auto"/>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pPr>
        <w:pStyle w:val="0"/>
        <w:spacing w:before="200" w:line-rule="auto"/>
        <w:ind w:firstLine="540"/>
        <w:jc w:val="both"/>
      </w:pPr>
      <w:r>
        <w:rPr>
          <w:sz w:val="20"/>
        </w:rPr>
        <w:t xml:space="preserve">2. Признать утратившими силу приказы Министерства образования и науки Российской Федерации:</w:t>
      </w:r>
    </w:p>
    <w:p>
      <w:pPr>
        <w:pStyle w:val="0"/>
        <w:spacing w:before="200" w:line-rule="auto"/>
        <w:ind w:firstLine="540"/>
        <w:jc w:val="both"/>
      </w:pPr>
      <w:r>
        <w:rPr>
          <w:sz w:val="20"/>
        </w:rPr>
        <w:t xml:space="preserve">от 28 августа 2013 г. </w:t>
      </w:r>
      <w:hyperlink w:history="0" r:id="rId14" w:tooltip="Приказ Минобрнауки России от 28.08.2013 N 1000 (ред. от 29.02.2016)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 Утратил силу или отменен {КонсультантПлюс}">
        <w:r>
          <w:rPr>
            <w:sz w:val="20"/>
            <w:color w:val="0000ff"/>
          </w:rPr>
          <w:t xml:space="preserve">N 1000</w:t>
        </w:r>
      </w:hyperlink>
      <w:r>
        <w:rPr>
          <w:sz w:val="20"/>
        </w:rP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pPr>
        <w:pStyle w:val="0"/>
        <w:spacing w:before="200" w:line-rule="auto"/>
        <w:ind w:firstLine="540"/>
        <w:jc w:val="both"/>
      </w:pPr>
      <w:r>
        <w:rPr>
          <w:sz w:val="20"/>
        </w:rPr>
        <w:t xml:space="preserve">от 29 февраля 2016 г. </w:t>
      </w:r>
      <w:hyperlink w:history="0" r:id="rId15" w:tooltip="Приказ Минобрнауки России от 29.02.2016 N 169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 Утратил силу или отменен {КонсультантПлюс}">
        <w:r>
          <w:rPr>
            <w:sz w:val="20"/>
            <w:color w:val="0000ff"/>
          </w:rPr>
          <w:t xml:space="preserve">N 169</w:t>
        </w:r>
      </w:hyperlink>
      <w:r>
        <w:rPr>
          <w:sz w:val="20"/>
        </w:rP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декабря 2016 г. N 1663</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НАЗНАЧЕНИЯ ГОСУДАРСТВЕННОЙ АКАДЕМИЧЕСКОЙ СТИПЕНДИИ</w:t>
      </w:r>
    </w:p>
    <w:p>
      <w:pPr>
        <w:pStyle w:val="2"/>
        <w:jc w:val="center"/>
      </w:pPr>
      <w:r>
        <w:rPr>
          <w:sz w:val="20"/>
        </w:rPr>
        <w:t xml:space="preserve">И (ИЛИ) ГОСУДАРСТВЕННОЙ СОЦИАЛЬНОЙ СТИПЕНДИИ СТУДЕНТАМ,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ГОСУДАРСТВЕННОЙ</w:t>
      </w:r>
    </w:p>
    <w:p>
      <w:pPr>
        <w:pStyle w:val="2"/>
        <w:jc w:val="center"/>
      </w:pPr>
      <w:r>
        <w:rPr>
          <w:sz w:val="20"/>
        </w:rPr>
        <w:t xml:space="preserve">СТИПЕНДИИ АСПИРАНТАМ, ОРДИНАТОРАМ, АССИСТЕНТАМ-СТАЖЕРАМ,</w:t>
      </w:r>
    </w:p>
    <w:p>
      <w:pPr>
        <w:pStyle w:val="2"/>
        <w:jc w:val="center"/>
      </w:pPr>
      <w:r>
        <w:rPr>
          <w:sz w:val="20"/>
        </w:rPr>
        <w:t xml:space="preserve">ОБУЧАЮЩИМСЯ ПО ОЧНОЙ ФОРМЕ ОБУЧЕНИЯ ЗА СЧЕТ БЮДЖЕТНЫХ</w:t>
      </w:r>
    </w:p>
    <w:p>
      <w:pPr>
        <w:pStyle w:val="2"/>
        <w:jc w:val="center"/>
      </w:pPr>
      <w:r>
        <w:rPr>
          <w:sz w:val="20"/>
        </w:rPr>
        <w:t xml:space="preserve">АССИГНОВАНИЙ ФЕДЕРАЛЬНОГО БЮДЖЕТА, ВЫПЛАТЫ СТИПЕНДИЙ</w:t>
      </w:r>
    </w:p>
    <w:p>
      <w:pPr>
        <w:pStyle w:val="2"/>
        <w:jc w:val="center"/>
      </w:pPr>
      <w:r>
        <w:rPr>
          <w:sz w:val="20"/>
        </w:rPr>
        <w:t xml:space="preserve">СЛУШАТЕЛЯМ ПОДГОТОВИТЕЛЬНЫХ ОТДЕЛЕНИЙ ФЕДЕРАЛЬНЫХ</w:t>
      </w:r>
    </w:p>
    <w:p>
      <w:pPr>
        <w:pStyle w:val="2"/>
        <w:jc w:val="center"/>
      </w:pPr>
      <w:r>
        <w:rPr>
          <w:sz w:val="20"/>
        </w:rPr>
        <w:t xml:space="preserve">ГОСУДАРСТВЕННЫХ ОБРАЗОВАТЕЛЬНЫХ ОРГАНИЗАЦИЙ ВЫСШЕГО</w:t>
      </w:r>
    </w:p>
    <w:p>
      <w:pPr>
        <w:pStyle w:val="2"/>
        <w:jc w:val="center"/>
      </w:pPr>
      <w:r>
        <w:rPr>
          <w:sz w:val="20"/>
        </w:rPr>
        <w:t xml:space="preserve">ОБРАЗОВАНИЯ, ОБУЧАЮЩИМСЯ ЗА СЧЕТ БЮДЖЕТНЫХ</w:t>
      </w:r>
    </w:p>
    <w:p>
      <w:pPr>
        <w:pStyle w:val="2"/>
        <w:jc w:val="center"/>
      </w:pPr>
      <w:r>
        <w:rPr>
          <w:sz w:val="20"/>
        </w:rPr>
        <w:t xml:space="preserve">АССИГНОВАНИЙ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02.04.2018 </w:t>
            </w:r>
            <w:hyperlink w:history="0" r:id="rId16"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N 227</w:t>
              </w:r>
            </w:hyperlink>
            <w:r>
              <w:rPr>
                <w:sz w:val="20"/>
                <w:color w:val="392c69"/>
              </w:rPr>
              <w:t xml:space="preserve">,</w:t>
            </w:r>
          </w:p>
          <w:p>
            <w:pPr>
              <w:pStyle w:val="0"/>
              <w:jc w:val="center"/>
            </w:pPr>
            <w:r>
              <w:rPr>
                <w:sz w:val="20"/>
                <w:color w:val="392c69"/>
              </w:rPr>
              <w:t xml:space="preserve">от 05.08.2021 </w:t>
            </w:r>
            <w:hyperlink w:history="0" r:id="rId17" w:tooltip="Приказ Минобрнауки России от 05.08.2021 N 712 (ред. от 01.02.2022) &quot;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 N 296 и от 22 июня 2015 г. N 607&quot; (Зарегистрировано в Минюсте России 04.10.2021 N 65253) {КонсультантПлюс}">
              <w:r>
                <w:rPr>
                  <w:sz w:val="20"/>
                  <w:color w:val="0000ff"/>
                </w:rPr>
                <w:t xml:space="preserve">N 712</w:t>
              </w:r>
            </w:hyperlink>
            <w:r>
              <w:rPr>
                <w:sz w:val="20"/>
                <w:color w:val="392c69"/>
              </w:rPr>
              <w:t xml:space="preserve">, от 15.08.2022 </w:t>
            </w:r>
            <w:hyperlink w:history="0" r:id="rId18" w:tooltip="Приказ Минобрнауки России от 15.08.2022 N 777 &quo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КонсультантПлюс}">
              <w:r>
                <w:rPr>
                  <w:sz w:val="20"/>
                  <w:color w:val="0000ff"/>
                </w:rPr>
                <w:t xml:space="preserve">N 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 7</w:t>
        </w:r>
      </w:hyperlink>
      <w:r>
        <w:rPr>
          <w:sz w:val="20"/>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r>
        <w:rPr>
          <w:sz w:val="20"/>
        </w:rPr>
        <w:t xml:space="preserve">http://www.pravo.gov.ru</w:t>
      </w:r>
      <w:r>
        <w:rPr>
          <w:sz w:val="20"/>
        </w:rPr>
        <w:t xml:space="preserve">, 21 декабря 2016 г., N 0001201612210031).</w:t>
      </w:r>
    </w:p>
    <w:p>
      <w:pPr>
        <w:pStyle w:val="0"/>
        <w:jc w:val="both"/>
      </w:pPr>
      <w:r>
        <w:rPr>
          <w:sz w:val="20"/>
        </w:rPr>
      </w:r>
    </w:p>
    <w:p>
      <w:pPr>
        <w:pStyle w:val="0"/>
        <w:ind w:firstLine="540"/>
        <w:jc w:val="both"/>
      </w:pPr>
      <w:r>
        <w:rPr>
          <w:sz w:val="20"/>
        </w:rPr>
        <w:t xml:space="preserve">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8 статьи 36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jc w:val="both"/>
      </w:pPr>
      <w:r>
        <w:rPr>
          <w:sz w:val="20"/>
        </w:rPr>
        <w:t xml:space="preserve">(в ред. </w:t>
      </w:r>
      <w:hyperlink w:history="0" r:id="rId21"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Приказа</w:t>
        </w:r>
      </w:hyperlink>
      <w:r>
        <w:rPr>
          <w:sz w:val="20"/>
        </w:rPr>
        <w:t xml:space="preserve"> Минобрнауки России от 02.04.2018 N 227)</w:t>
      </w:r>
    </w:p>
    <w:p>
      <w:pPr>
        <w:pStyle w:val="0"/>
        <w:jc w:val="both"/>
      </w:pPr>
      <w:r>
        <w:rPr>
          <w:sz w:val="20"/>
        </w:rPr>
      </w:r>
    </w:p>
    <w:p>
      <w:pPr>
        <w:pStyle w:val="0"/>
        <w:ind w:firstLine="540"/>
        <w:jc w:val="both"/>
      </w:pPr>
      <w:r>
        <w:rPr>
          <w:sz w:val="20"/>
        </w:rP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w:history="0" r:id="rId22"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нормативов</w:t>
        </w:r>
      </w:hyperlink>
      <w:r>
        <w:rPr>
          <w:sz w:val="20"/>
        </w:rPr>
        <w:t xml:space="preserve">,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9</w:t>
        </w:r>
      </w:hyperlink>
      <w:r>
        <w:rPr>
          <w:sz w:val="20"/>
        </w:rPr>
        <w:t xml:space="preserve"> и </w:t>
      </w:r>
      <w:hyperlink w:history="0" r:id="rId2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10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bookmarkStart w:id="76" w:name="P76"/>
    <w:bookmarkEnd w:id="76"/>
    <w:p>
      <w:pPr>
        <w:pStyle w:val="0"/>
        <w:ind w:firstLine="540"/>
        <w:jc w:val="both"/>
      </w:pPr>
      <w:r>
        <w:rPr>
          <w:sz w:val="20"/>
        </w:rP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w:history="0" r:id="rId25" w:tooltip="Постановление Правительства РФ от 18.12.2020 N 2150 &quot;Об установлении квоты на образование иностранных граждан и лиц без гражданства в Российской Федерации&quot; {КонсультантПлюс}">
        <w:r>
          <w:rPr>
            <w:sz w:val="20"/>
            <w:color w:val="0000ff"/>
          </w:rPr>
          <w:t xml:space="preserve">квоты</w:t>
        </w:r>
      </w:hyperlink>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См. </w:t>
      </w:r>
      <w:hyperlink w:history="0" r:id="rId2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11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2"/>
        <w:outlineLvl w:val="1"/>
        <w:jc w:val="center"/>
      </w:pPr>
      <w:r>
        <w:rPr>
          <w:sz w:val="20"/>
        </w:rPr>
        <w:t xml:space="preserve">II. Назначение и выплата государственной</w:t>
      </w:r>
    </w:p>
    <w:p>
      <w:pPr>
        <w:pStyle w:val="2"/>
        <w:jc w:val="center"/>
      </w:pPr>
      <w:r>
        <w:rPr>
          <w:sz w:val="20"/>
        </w:rPr>
        <w:t xml:space="preserve">академической стипендии и (или) государственной социальной</w:t>
      </w:r>
    </w:p>
    <w:p>
      <w:pPr>
        <w:pStyle w:val="2"/>
        <w:jc w:val="center"/>
      </w:pPr>
      <w:r>
        <w:rPr>
          <w:sz w:val="20"/>
        </w:rPr>
        <w:t xml:space="preserve">стипендии студентам, обучающимся по очной форме обучения</w:t>
      </w:r>
    </w:p>
    <w:p>
      <w:pPr>
        <w:pStyle w:val="2"/>
        <w:jc w:val="center"/>
      </w:pPr>
      <w:r>
        <w:rPr>
          <w:sz w:val="20"/>
        </w:rPr>
        <w:t xml:space="preserve">за счет бюджетных ассигнований федерального бюджета,</w:t>
      </w:r>
    </w:p>
    <w:p>
      <w:pPr>
        <w:pStyle w:val="2"/>
        <w:jc w:val="center"/>
      </w:pPr>
      <w:r>
        <w:rPr>
          <w:sz w:val="20"/>
        </w:rPr>
        <w:t xml:space="preserve">государственной стипендии аспирантам, ординаторам,</w:t>
      </w:r>
    </w:p>
    <w:p>
      <w:pPr>
        <w:pStyle w:val="2"/>
        <w:jc w:val="center"/>
      </w:pPr>
      <w:r>
        <w:rPr>
          <w:sz w:val="20"/>
        </w:rPr>
        <w:t xml:space="preserve">ассистентам-стажерам, обучающимся по очной форме обучения</w:t>
      </w:r>
    </w:p>
    <w:p>
      <w:pPr>
        <w:pStyle w:val="2"/>
        <w:jc w:val="center"/>
      </w:pPr>
      <w:r>
        <w:rPr>
          <w:sz w:val="20"/>
        </w:rPr>
        <w:t xml:space="preserve">за счет бюджетных ассигнований федерального бюджета,</w:t>
      </w:r>
    </w:p>
    <w:p>
      <w:pPr>
        <w:pStyle w:val="2"/>
        <w:jc w:val="center"/>
      </w:pPr>
      <w:r>
        <w:rPr>
          <w:sz w:val="20"/>
        </w:rPr>
        <w:t xml:space="preserve">выплата стипендий слушателям подготовительных отделений,</w:t>
      </w:r>
    </w:p>
    <w:p>
      <w:pPr>
        <w:pStyle w:val="2"/>
        <w:jc w:val="center"/>
      </w:pPr>
      <w:r>
        <w:rPr>
          <w:sz w:val="20"/>
        </w:rPr>
        <w:t xml:space="preserve">обучающимся за счет бюджетных ассигнований</w:t>
      </w:r>
    </w:p>
    <w:p>
      <w:pPr>
        <w:pStyle w:val="2"/>
        <w:jc w:val="center"/>
      </w:pPr>
      <w:r>
        <w:rPr>
          <w:sz w:val="20"/>
        </w:rPr>
        <w:t xml:space="preserve">федерального бюджета</w:t>
      </w:r>
    </w:p>
    <w:p>
      <w:pPr>
        <w:pStyle w:val="0"/>
        <w:jc w:val="both"/>
      </w:pPr>
      <w:r>
        <w:rPr>
          <w:sz w:val="20"/>
        </w:rPr>
      </w:r>
    </w:p>
    <w:p>
      <w:pPr>
        <w:pStyle w:val="0"/>
        <w:ind w:firstLine="540"/>
        <w:jc w:val="both"/>
      </w:pPr>
      <w:r>
        <w:rPr>
          <w:sz w:val="20"/>
        </w:rPr>
        <w:t xml:space="preserve">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pPr>
        <w:pStyle w:val="0"/>
        <w:spacing w:before="200" w:line-rule="auto"/>
        <w:ind w:firstLine="540"/>
        <w:jc w:val="both"/>
      </w:pPr>
      <w:r>
        <w:rPr>
          <w:sz w:val="20"/>
        </w:rPr>
        <w:t xml:space="preserve">Студент, которому назначается государственная академическая стипендия, должен соответствовать следующим требованиям:</w:t>
      </w:r>
    </w:p>
    <w:p>
      <w:pPr>
        <w:pStyle w:val="0"/>
        <w:spacing w:before="200" w:line-rule="auto"/>
        <w:ind w:firstLine="540"/>
        <w:jc w:val="both"/>
      </w:pPr>
      <w:r>
        <w:rPr>
          <w:sz w:val="20"/>
        </w:rPr>
        <w:t xml:space="preserve">отсутствие по итогам промежуточной аттестации оценки "удовлетворительно";</w:t>
      </w:r>
    </w:p>
    <w:p>
      <w:pPr>
        <w:pStyle w:val="0"/>
        <w:spacing w:before="200" w:line-rule="auto"/>
        <w:ind w:firstLine="540"/>
        <w:jc w:val="both"/>
      </w:pPr>
      <w:r>
        <w:rPr>
          <w:sz w:val="20"/>
        </w:rPr>
        <w:t xml:space="preserve">отсутствие академической задолженности.</w:t>
      </w:r>
    </w:p>
    <w:p>
      <w:pPr>
        <w:pStyle w:val="0"/>
        <w:spacing w:before="200" w:line-rule="auto"/>
        <w:ind w:firstLine="540"/>
        <w:jc w:val="both"/>
      </w:pPr>
      <w:r>
        <w:rPr>
          <w:sz w:val="20"/>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pPr>
        <w:pStyle w:val="0"/>
        <w:spacing w:before="200" w:line-rule="auto"/>
        <w:ind w:firstLine="540"/>
        <w:jc w:val="both"/>
      </w:pPr>
      <w:r>
        <w:rPr>
          <w:sz w:val="20"/>
        </w:rP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history="0" w:anchor="P76" w:tooltip="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
        <w:r>
          <w:rPr>
            <w:sz w:val="20"/>
            <w:color w:val="0000ff"/>
          </w:rPr>
          <w:t xml:space="preserve">пункте 4</w:t>
        </w:r>
      </w:hyperlink>
      <w:r>
        <w:rPr>
          <w:sz w:val="20"/>
        </w:rP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pPr>
        <w:pStyle w:val="0"/>
        <w:spacing w:before="200" w:line-rule="auto"/>
        <w:ind w:firstLine="540"/>
        <w:jc w:val="both"/>
      </w:pPr>
      <w:r>
        <w:rPr>
          <w:sz w:val="20"/>
        </w:rP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history="0" w:anchor="P100" w:tooltip="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
        <w:r>
          <w:rPr>
            <w:sz w:val="20"/>
            <w:color w:val="0000ff"/>
          </w:rPr>
          <w:t xml:space="preserve">пунктами 7</w:t>
        </w:r>
      </w:hyperlink>
      <w:r>
        <w:rPr>
          <w:sz w:val="20"/>
        </w:rPr>
        <w:t xml:space="preserve"> - </w:t>
      </w:r>
      <w:hyperlink w:history="0" w:anchor="P121" w:tooltip="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pPr>
        <w:pStyle w:val="0"/>
        <w:spacing w:before="200" w:line-rule="auto"/>
        <w:ind w:firstLine="540"/>
        <w:jc w:val="both"/>
      </w:pPr>
      <w:r>
        <w:rPr>
          <w:sz w:val="20"/>
        </w:rP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bookmarkStart w:id="100" w:name="P100"/>
    <w:bookmarkEnd w:id="100"/>
    <w:p>
      <w:pPr>
        <w:pStyle w:val="0"/>
        <w:spacing w:before="200" w:line-rule="auto"/>
        <w:ind w:firstLine="540"/>
        <w:jc w:val="both"/>
      </w:pPr>
      <w:r>
        <w:rPr>
          <w:sz w:val="20"/>
        </w:rPr>
        <w:t xml:space="preserve">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bookmarkStart w:id="101" w:name="P101"/>
    <w:bookmarkEnd w:id="101"/>
    <w:p>
      <w:pPr>
        <w:pStyle w:val="0"/>
        <w:spacing w:before="200" w:line-rule="auto"/>
        <w:ind w:firstLine="540"/>
        <w:jc w:val="both"/>
      </w:pPr>
      <w:r>
        <w:rPr>
          <w:sz w:val="20"/>
        </w:rPr>
        <w:t xml:space="preserve">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pPr>
        <w:pStyle w:val="0"/>
        <w:spacing w:before="200" w:line-rule="auto"/>
        <w:ind w:firstLine="540"/>
        <w:jc w:val="both"/>
      </w:pPr>
      <w:r>
        <w:rPr>
          <w:sz w:val="20"/>
        </w:rPr>
        <w:t xml:space="preserve">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pPr>
        <w:pStyle w:val="0"/>
        <w:spacing w:before="200" w:line-rule="auto"/>
        <w:ind w:firstLine="540"/>
        <w:jc w:val="both"/>
      </w:pPr>
      <w:r>
        <w:rPr>
          <w:sz w:val="20"/>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pPr>
        <w:pStyle w:val="0"/>
        <w:spacing w:before="200" w:line-rule="auto"/>
        <w:ind w:firstLine="540"/>
        <w:jc w:val="both"/>
      </w:pPr>
      <w:r>
        <w:rPr>
          <w:sz w:val="20"/>
        </w:rP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history="0" w:anchor="P101" w:tooltip="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quot;отлично&quot;;">
        <w:r>
          <w:rPr>
            <w:sz w:val="20"/>
            <w:color w:val="0000ff"/>
          </w:rPr>
          <w:t xml:space="preserve">подпункте "а" пункта 7</w:t>
        </w:r>
      </w:hyperlink>
      <w:r>
        <w:rPr>
          <w:sz w:val="20"/>
        </w:rPr>
        <w:t xml:space="preserve"> настоящего Порядка, не назначается.</w:t>
      </w:r>
    </w:p>
    <w:p>
      <w:pPr>
        <w:pStyle w:val="0"/>
        <w:spacing w:before="200" w:line-rule="auto"/>
        <w:ind w:firstLine="540"/>
        <w:jc w:val="both"/>
      </w:pPr>
      <w:r>
        <w:rPr>
          <w:sz w:val="20"/>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history="0" w:anchor="P101" w:tooltip="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quot;отлично&quot;;">
        <w:r>
          <w:rPr>
            <w:sz w:val="20"/>
            <w:color w:val="0000ff"/>
          </w:rPr>
          <w:t xml:space="preserve">подпункте "а" пункта 7</w:t>
        </w:r>
      </w:hyperlink>
      <w:r>
        <w:rPr>
          <w:sz w:val="20"/>
        </w:rP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pPr>
        <w:pStyle w:val="0"/>
        <w:spacing w:before="200" w:line-rule="auto"/>
        <w:ind w:firstLine="540"/>
        <w:jc w:val="both"/>
      </w:pPr>
      <w:r>
        <w:rPr>
          <w:sz w:val="20"/>
        </w:rPr>
        <w:t xml:space="preserve">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получение студентом в течение года, предшествующего назначению повышенной государственной академической стипендии:</w:t>
      </w:r>
    </w:p>
    <w:p>
      <w:pPr>
        <w:pStyle w:val="0"/>
        <w:spacing w:before="200" w:line-rule="auto"/>
        <w:ind w:firstLine="540"/>
        <w:jc w:val="both"/>
      </w:pPr>
      <w:r>
        <w:rPr>
          <w:sz w:val="20"/>
        </w:rPr>
        <w:t xml:space="preserve">награды (приза) за результаты научно-исследовательской работы, проводимой студентом;</w:t>
      </w:r>
    </w:p>
    <w:p>
      <w:pPr>
        <w:pStyle w:val="0"/>
        <w:spacing w:before="200" w:line-rule="auto"/>
        <w:ind w:firstLine="540"/>
        <w:jc w:val="both"/>
      </w:pPr>
      <w:r>
        <w:rPr>
          <w:sz w:val="20"/>
        </w:rPr>
        <w:t xml:space="preserve">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pPr>
        <w:pStyle w:val="0"/>
        <w:spacing w:before="200" w:line-rule="auto"/>
        <w:ind w:firstLine="540"/>
        <w:jc w:val="both"/>
      </w:pPr>
      <w:r>
        <w:rPr>
          <w:sz w:val="20"/>
        </w:rPr>
        <w:t xml:space="preserve">гранта на выполнение научно-исследовательской работы;</w:t>
      </w:r>
    </w:p>
    <w:p>
      <w:pPr>
        <w:pStyle w:val="0"/>
        <w:spacing w:before="200" w:line-rule="auto"/>
        <w:ind w:firstLine="540"/>
        <w:jc w:val="both"/>
      </w:pPr>
      <w:r>
        <w:rPr>
          <w:sz w:val="20"/>
        </w:rPr>
        <w:t xml:space="preserve">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pPr>
        <w:pStyle w:val="0"/>
        <w:spacing w:before="200" w:line-rule="auto"/>
        <w:ind w:firstLine="540"/>
        <w:jc w:val="both"/>
      </w:pPr>
      <w:r>
        <w:rPr>
          <w:sz w:val="20"/>
        </w:rPr>
        <w:t xml:space="preserve">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pPr>
        <w:pStyle w:val="0"/>
        <w:spacing w:before="200" w:line-rule="auto"/>
        <w:ind w:firstLine="540"/>
        <w:jc w:val="both"/>
      </w:pPr>
      <w:r>
        <w:rPr>
          <w:sz w:val="20"/>
        </w:rPr>
        <w:t xml:space="preserve">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pPr>
        <w:pStyle w:val="0"/>
        <w:spacing w:before="200" w:line-rule="auto"/>
        <w:ind w:firstLine="540"/>
        <w:jc w:val="both"/>
      </w:pPr>
      <w:r>
        <w:rPr>
          <w:sz w:val="20"/>
        </w:rP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организуемой субъектами, осуществляющими деятельность в сфере молодежной политики, подтверждаемое документально.</w:t>
      </w:r>
    </w:p>
    <w:p>
      <w:pPr>
        <w:pStyle w:val="0"/>
        <w:jc w:val="both"/>
      </w:pPr>
      <w:r>
        <w:rPr>
          <w:sz w:val="20"/>
        </w:rPr>
        <w:t xml:space="preserve">(пп. "в" введен </w:t>
      </w:r>
      <w:hyperlink w:history="0" r:id="rId27" w:tooltip="Приказ Минобрнауки России от 15.08.2022 N 777 &quot;О внесении изменения в пункт 9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КонсультантПлюс}">
        <w:r>
          <w:rPr>
            <w:sz w:val="20"/>
            <w:color w:val="0000ff"/>
          </w:rPr>
          <w:t xml:space="preserve">Приказом</w:t>
        </w:r>
      </w:hyperlink>
      <w:r>
        <w:rPr>
          <w:sz w:val="20"/>
        </w:rPr>
        <w:t xml:space="preserve"> Минобрнауки России от 15.08.2022 N 777)</w:t>
      </w:r>
    </w:p>
    <w:p>
      <w:pPr>
        <w:pStyle w:val="0"/>
        <w:spacing w:before="200" w:line-rule="auto"/>
        <w:ind w:firstLine="540"/>
        <w:jc w:val="both"/>
      </w:pPr>
      <w:r>
        <w:rPr>
          <w:sz w:val="20"/>
        </w:rPr>
        <w:t xml:space="preserve">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pPr>
        <w:pStyle w:val="0"/>
        <w:spacing w:before="200" w:line-rule="auto"/>
        <w:ind w:firstLine="540"/>
        <w:jc w:val="both"/>
      </w:pPr>
      <w:r>
        <w:rPr>
          <w:sz w:val="20"/>
        </w:rPr>
        <w:t xml:space="preserve">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pPr>
        <w:pStyle w:val="0"/>
        <w:spacing w:before="200" w:line-rule="auto"/>
        <w:ind w:firstLine="540"/>
        <w:jc w:val="both"/>
      </w:pPr>
      <w:r>
        <w:rPr>
          <w:sz w:val="20"/>
        </w:rP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bookmarkStart w:id="121" w:name="P121"/>
    <w:bookmarkEnd w:id="121"/>
    <w:p>
      <w:pPr>
        <w:pStyle w:val="0"/>
        <w:spacing w:before="200" w:line-rule="auto"/>
        <w:ind w:firstLine="540"/>
        <w:jc w:val="both"/>
      </w:pPr>
      <w:r>
        <w:rPr>
          <w:sz w:val="20"/>
        </w:rPr>
        <w:t xml:space="preserve">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pPr>
        <w:pStyle w:val="0"/>
        <w:spacing w:before="200" w:line-rule="auto"/>
        <w:ind w:firstLine="540"/>
        <w:jc w:val="both"/>
      </w:pPr>
      <w:r>
        <w:rPr>
          <w:sz w:val="20"/>
        </w:rPr>
        <w:t xml:space="preserve">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pPr>
        <w:pStyle w:val="0"/>
        <w:spacing w:before="200" w:line-rule="auto"/>
        <w:ind w:firstLine="540"/>
        <w:jc w:val="both"/>
      </w:pPr>
      <w:r>
        <w:rPr>
          <w:sz w:val="20"/>
        </w:rPr>
        <w:t xml:space="preserve">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pPr>
        <w:pStyle w:val="0"/>
        <w:spacing w:before="200" w:line-rule="auto"/>
        <w:ind w:firstLine="540"/>
        <w:jc w:val="both"/>
      </w:pPr>
      <w:r>
        <w:rPr>
          <w:sz w:val="20"/>
        </w:rPr>
        <w:t xml:space="preserve">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pPr>
        <w:pStyle w:val="0"/>
        <w:spacing w:before="200" w:line-rule="auto"/>
        <w:ind w:firstLine="540"/>
        <w:jc w:val="both"/>
      </w:pPr>
      <w:r>
        <w:rPr>
          <w:sz w:val="20"/>
        </w:rP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w:history="0" r:id="rId28" w:tooltip="Указ Президента РФ от 31.03.2011 N 368 (ред. от 08.02.2019) &quo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quot; (вместе с &quot;Положением о порядке выплаты стипендий Президента Российской Федерации спортсменам, тренерам и иным специалистам спортивных сборных команд Р {КонсультантПлюс}">
        <w:r>
          <w:rPr>
            <w:sz w:val="20"/>
            <w:color w:val="0000ff"/>
          </w:rPr>
          <w:t xml:space="preserve">Указом</w:t>
        </w:r>
      </w:hyperlink>
      <w:r>
        <w:rPr>
          <w:sz w:val="20"/>
        </w:rP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bookmarkStart w:id="126" w:name="P126"/>
    <w:bookmarkEnd w:id="126"/>
    <w:p>
      <w:pPr>
        <w:pStyle w:val="0"/>
        <w:spacing w:before="200" w:line-rule="auto"/>
        <w:ind w:firstLine="540"/>
        <w:jc w:val="both"/>
      </w:pPr>
      <w:r>
        <w:rPr>
          <w:sz w:val="20"/>
        </w:rP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2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3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3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3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3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pPr>
        <w:pStyle w:val="0"/>
        <w:jc w:val="both"/>
      </w:pPr>
      <w:r>
        <w:rPr>
          <w:sz w:val="20"/>
        </w:rPr>
        <w:t xml:space="preserve">(п. 13 в ред. </w:t>
      </w:r>
      <w:hyperlink w:history="0" r:id="rId34" w:tooltip="Приказ Минобрнауки России от 02.04.2018 N 227 &quot;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 {КонсультантПлюс}">
        <w:r>
          <w:rPr>
            <w:sz w:val="20"/>
            <w:color w:val="0000ff"/>
          </w:rPr>
          <w:t xml:space="preserve">Приказа</w:t>
        </w:r>
      </w:hyperlink>
      <w:r>
        <w:rPr>
          <w:sz w:val="20"/>
        </w:rPr>
        <w:t xml:space="preserve"> Минобрнауки России от 02.04.2018 N 227)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5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history="0" w:anchor="P126" w:tooltip="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r>
          <w:rPr>
            <w:sz w:val="20"/>
            <w:color w:val="0000ff"/>
          </w:rPr>
          <w:t xml:space="preserve">пунктом 13</w:t>
        </w:r>
      </w:hyperlink>
      <w:r>
        <w:rPr>
          <w:sz w:val="20"/>
        </w:rP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w:history="0" r:id="rId3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Пункт 8</w:t>
        </w:r>
      </w:hyperlink>
      <w:r>
        <w:rPr>
          <w:sz w:val="20"/>
        </w:rP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r>
        <w:rPr>
          <w:sz w:val="20"/>
        </w:rPr>
        <w:t xml:space="preserve">http://www.pravo.gov.ru</w:t>
      </w:r>
      <w:r>
        <w:rPr>
          <w:sz w:val="20"/>
        </w:rPr>
        <w:t xml:space="preserve">, 21 декабря 2016 г., N 0001201612210031).</w:t>
      </w:r>
    </w:p>
    <w:p>
      <w:pPr>
        <w:pStyle w:val="0"/>
        <w:spacing w:before="200" w:line-rule="auto"/>
        <w:ind w:firstLine="540"/>
        <w:jc w:val="both"/>
      </w:pPr>
      <w:r>
        <w:rPr>
          <w:sz w:val="20"/>
        </w:rPr>
        <w:t xml:space="preserve">&lt;7&gt; </w:t>
      </w:r>
      <w:hyperlink w:history="0" r:id="rId38"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Пункт 2 статьи 4</w:t>
        </w:r>
      </w:hyperlink>
      <w:r>
        <w:rPr>
          <w:sz w:val="20"/>
        </w:rP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pPr>
        <w:pStyle w:val="0"/>
        <w:jc w:val="both"/>
      </w:pPr>
      <w:r>
        <w:rPr>
          <w:sz w:val="20"/>
        </w:rPr>
      </w:r>
    </w:p>
    <w:p>
      <w:pPr>
        <w:pStyle w:val="0"/>
        <w:ind w:firstLine="540"/>
        <w:jc w:val="both"/>
      </w:pPr>
      <w:r>
        <w:rPr>
          <w:sz w:val="20"/>
        </w:rPr>
        <w:t xml:space="preserve">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pPr>
        <w:pStyle w:val="0"/>
        <w:spacing w:before="200" w:line-rule="auto"/>
        <w:ind w:firstLine="540"/>
        <w:jc w:val="both"/>
      </w:pPr>
      <w:r>
        <w:rPr>
          <w:sz w:val="20"/>
        </w:rP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pPr>
        <w:pStyle w:val="0"/>
        <w:jc w:val="both"/>
      </w:pPr>
      <w:r>
        <w:rPr>
          <w:sz w:val="20"/>
        </w:rPr>
        <w:t xml:space="preserve">(в ред. </w:t>
      </w:r>
      <w:hyperlink w:history="0" r:id="rId39" w:tooltip="Приказ Минобрнауки России от 05.08.2021 N 712 (ред. от 01.02.2022) &quot;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 N 296 и от 22 июня 2015 г. N 607&quot; (Зарегистрировано в Минюсте России 04.10.2021 N 65253) {КонсультантПлюс}">
        <w:r>
          <w:rPr>
            <w:sz w:val="20"/>
            <w:color w:val="0000ff"/>
          </w:rPr>
          <w:t xml:space="preserve">Приказа</w:t>
        </w:r>
      </w:hyperlink>
      <w:r>
        <w:rPr>
          <w:sz w:val="20"/>
        </w:rPr>
        <w:t xml:space="preserve"> Минобрнауки России от 05.08.2021 N 712)</w:t>
      </w:r>
    </w:p>
    <w:p>
      <w:pPr>
        <w:pStyle w:val="0"/>
        <w:spacing w:before="200" w:line-rule="auto"/>
        <w:ind w:firstLine="540"/>
        <w:jc w:val="both"/>
      </w:pPr>
      <w:r>
        <w:rPr>
          <w:sz w:val="20"/>
        </w:rPr>
        <w:t xml:space="preserve">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pPr>
        <w:pStyle w:val="0"/>
        <w:spacing w:before="200" w:line-rule="auto"/>
        <w:ind w:firstLine="540"/>
        <w:jc w:val="both"/>
      </w:pPr>
      <w:r>
        <w:rPr>
          <w:sz w:val="20"/>
        </w:rPr>
        <w:t xml:space="preserve">отсутствие по итогам промежуточной аттестации оценки "удовлетворительно";</w:t>
      </w:r>
    </w:p>
    <w:p>
      <w:pPr>
        <w:pStyle w:val="0"/>
        <w:spacing w:before="200" w:line-rule="auto"/>
        <w:ind w:firstLine="540"/>
        <w:jc w:val="both"/>
      </w:pPr>
      <w:r>
        <w:rPr>
          <w:sz w:val="20"/>
        </w:rPr>
        <w:t xml:space="preserve">отсутствие академической задолженности.</w:t>
      </w:r>
    </w:p>
    <w:p>
      <w:pPr>
        <w:pStyle w:val="0"/>
        <w:spacing w:before="200" w:line-rule="auto"/>
        <w:ind w:firstLine="540"/>
        <w:jc w:val="both"/>
      </w:pPr>
      <w:r>
        <w:rPr>
          <w:sz w:val="20"/>
        </w:rPr>
        <w:t xml:space="preserve">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pPr>
        <w:pStyle w:val="0"/>
        <w:spacing w:before="200" w:line-rule="auto"/>
        <w:ind w:firstLine="540"/>
        <w:jc w:val="both"/>
      </w:pPr>
      <w:r>
        <w:rPr>
          <w:sz w:val="20"/>
        </w:rPr>
        <w:t xml:space="preserve">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См. </w:t>
      </w:r>
      <w:hyperlink w:history="0" r:id="rId4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5 статьи 78</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pPr>
        <w:pStyle w:val="0"/>
        <w:spacing w:before="200" w:line-rule="auto"/>
        <w:ind w:firstLine="540"/>
        <w:jc w:val="both"/>
      </w:pPr>
      <w:r>
        <w:rPr>
          <w:sz w:val="20"/>
        </w:rPr>
        <w:t xml:space="preserve">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pPr>
        <w:pStyle w:val="0"/>
        <w:spacing w:before="200" w:line-rule="auto"/>
        <w:ind w:firstLine="540"/>
        <w:jc w:val="both"/>
      </w:pPr>
      <w:r>
        <w:rPr>
          <w:sz w:val="20"/>
        </w:rP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history="0" w:anchor="P126" w:tooltip="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r>
          <w:rPr>
            <w:sz w:val="20"/>
            <w:color w:val="0000ff"/>
          </w:rPr>
          <w:t xml:space="preserve">пункте 13</w:t>
        </w:r>
      </w:hyperlink>
      <w:r>
        <w:rPr>
          <w:sz w:val="20"/>
        </w:rP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pPr>
        <w:pStyle w:val="0"/>
        <w:spacing w:before="200" w:line-rule="auto"/>
        <w:ind w:firstLine="540"/>
        <w:jc w:val="both"/>
      </w:pPr>
      <w:r>
        <w:rPr>
          <w:sz w:val="20"/>
        </w:rPr>
        <w:t xml:space="preserve">В случае если документ, подтверждающий соответствие одной из категорий граждан, указанных в </w:t>
      </w:r>
      <w:hyperlink w:history="0" w:anchor="P126" w:tooltip="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r>
          <w:rPr>
            <w:sz w:val="20"/>
            <w:color w:val="0000ff"/>
          </w:rPr>
          <w:t xml:space="preserve">пункте 13</w:t>
        </w:r>
      </w:hyperlink>
      <w:r>
        <w:rPr>
          <w:sz w:val="20"/>
        </w:rP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pPr>
        <w:pStyle w:val="0"/>
        <w:spacing w:before="200" w:line-rule="auto"/>
        <w:ind w:firstLine="540"/>
        <w:jc w:val="both"/>
      </w:pPr>
      <w:r>
        <w:rPr>
          <w:sz w:val="20"/>
        </w:rPr>
        <w:t xml:space="preserve">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См. </w:t>
      </w:r>
      <w:hyperlink w:history="0" r:id="rId4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5 статьи 36</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r>
    </w:p>
    <w:p>
      <w:pPr>
        <w:pStyle w:val="0"/>
        <w:ind w:firstLine="540"/>
        <w:jc w:val="both"/>
      </w:pPr>
      <w:r>
        <w:rPr>
          <w:sz w:val="20"/>
        </w:rPr>
        <w:t xml:space="preserve">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pPr>
        <w:pStyle w:val="0"/>
        <w:spacing w:before="200" w:line-rule="auto"/>
        <w:ind w:firstLine="540"/>
        <w:jc w:val="both"/>
      </w:pPr>
      <w:r>
        <w:rPr>
          <w:sz w:val="20"/>
        </w:rPr>
        <w:t xml:space="preserve">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pPr>
        <w:pStyle w:val="0"/>
        <w:spacing w:before="200" w:line-rule="auto"/>
        <w:ind w:firstLine="540"/>
        <w:jc w:val="both"/>
      </w:pPr>
      <w:r>
        <w:rPr>
          <w:sz w:val="20"/>
        </w:rPr>
        <w:t xml:space="preserve">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pPr>
        <w:pStyle w:val="0"/>
        <w:spacing w:before="200" w:line-rule="auto"/>
        <w:ind w:firstLine="540"/>
        <w:jc w:val="both"/>
      </w:pPr>
      <w:r>
        <w:rPr>
          <w:sz w:val="20"/>
        </w:rPr>
        <w:t xml:space="preserve">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pPr>
        <w:pStyle w:val="0"/>
        <w:spacing w:before="200" w:line-rule="auto"/>
        <w:ind w:firstLine="540"/>
        <w:jc w:val="both"/>
      </w:pPr>
      <w:r>
        <w:rPr>
          <w:sz w:val="20"/>
        </w:rPr>
        <w:t xml:space="preserve">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pPr>
        <w:pStyle w:val="0"/>
        <w:spacing w:before="200" w:line-rule="auto"/>
        <w:ind w:firstLine="540"/>
        <w:jc w:val="both"/>
      </w:pPr>
      <w:r>
        <w:rPr>
          <w:sz w:val="20"/>
        </w:rP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27.12.2016 N 1663</w:t>
            <w:br/>
            <w:t>(ред. от 15.08.2022)</w:t>
            <w:br/>
            <w:t>"Об утверждении Порядка назначения государственной 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2B2DAF6F2E10F290C282E3CF5A95D32582B325A387826C3F86BBC82384833B4601480E489E799341516C5715C0A8D3F37F8CB33EDA903CF136D" TargetMode = "External"/>
	<Relationship Id="rId8" Type="http://schemas.openxmlformats.org/officeDocument/2006/relationships/hyperlink" Target="consultantplus://offline/ref=122B2DAF6F2E10F290C282E3CF5A95D3238AB423AE8D826C3F86BBC82384833B4601480E489E79964F516C5715C0A8D3F37F8CB33EDA903CF136D" TargetMode = "External"/>
	<Relationship Id="rId9" Type="http://schemas.openxmlformats.org/officeDocument/2006/relationships/hyperlink" Target="consultantplus://offline/ref=122B2DAF6F2E10F290C282E3CF5A95D32389B320A38C826C3F86BBC82384833B4601480E489E799341516C5715C0A8D3F37F8CB33EDA903CF136D" TargetMode = "External"/>
	<Relationship Id="rId10" Type="http://schemas.openxmlformats.org/officeDocument/2006/relationships/hyperlink" Target="consultantplus://offline/ref=122B2DAF6F2E10F290C282E3CF5A95D32389B721A487826C3F86BBC82384833B4601480E489E7C9041516C5715C0A8D3F37F8CB33EDA903CF136D" TargetMode = "External"/>
	<Relationship Id="rId11" Type="http://schemas.openxmlformats.org/officeDocument/2006/relationships/hyperlink" Target="consultantplus://offline/ref=122B2DAF6F2E10F290C282E3CF5A95D32389B721A487826C3F86BBC82384833B4601480E489E7C9040516C5715C0A8D3F37F8CB33EDA903CF136D" TargetMode = "External"/>
	<Relationship Id="rId12" Type="http://schemas.openxmlformats.org/officeDocument/2006/relationships/hyperlink" Target="consultantplus://offline/ref=122B2DAF6F2E10F290C282E3CF5A95D32389B721A487826C3F86BBC82384833B4601480E489E7C904E516C5715C0A8D3F37F8CB33EDA903CF136D" TargetMode = "External"/>
	<Relationship Id="rId13" Type="http://schemas.openxmlformats.org/officeDocument/2006/relationships/hyperlink" Target="consultantplus://offline/ref=122B2DAF6F2E10F290C282E3CF5A95D32389B721A487826C3F86BBC82384833B4601480E489E7C9740516C5715C0A8D3F37F8CB33EDA903CF136D" TargetMode = "External"/>
	<Relationship Id="rId14" Type="http://schemas.openxmlformats.org/officeDocument/2006/relationships/hyperlink" Target="consultantplus://offline/ref=122B2DAF6F2E10F290C282E3CF5A95D32682B325A28F826C3F86BBC82384833B540110024896679246443A0653F937D" TargetMode = "External"/>
	<Relationship Id="rId15" Type="http://schemas.openxmlformats.org/officeDocument/2006/relationships/hyperlink" Target="consultantplus://offline/ref=122B2DAF6F2E10F290C282E3CF5A95D32682B02CA187826C3F86BBC82384833B540110024896679246443A0653F937D" TargetMode = "External"/>
	<Relationship Id="rId16" Type="http://schemas.openxmlformats.org/officeDocument/2006/relationships/hyperlink" Target="consultantplus://offline/ref=122B2DAF6F2E10F290C282E3CF5A95D32582B325A387826C3F86BBC82384833B4601480E489E799341516C5715C0A8D3F37F8CB33EDA903CF136D" TargetMode = "External"/>
	<Relationship Id="rId17" Type="http://schemas.openxmlformats.org/officeDocument/2006/relationships/hyperlink" Target="consultantplus://offline/ref=122B2DAF6F2E10F290C282E3CF5A95D3238AB423AE8D826C3F86BBC82384833B4601480E489E79964F516C5715C0A8D3F37F8CB33EDA903CF136D" TargetMode = "External"/>
	<Relationship Id="rId18" Type="http://schemas.openxmlformats.org/officeDocument/2006/relationships/hyperlink" Target="consultantplus://offline/ref=122B2DAF6F2E10F290C282E3CF5A95D32389B320A38C826C3F86BBC82384833B4601480E489E799341516C5715C0A8D3F37F8CB33EDA903CF136D" TargetMode = "External"/>
	<Relationship Id="rId19" Type="http://schemas.openxmlformats.org/officeDocument/2006/relationships/hyperlink" Target="consultantplus://offline/ref=122B2DAF6F2E10F290C282E3CF5A95D32483BD2DA08B826C3F86BBC82384833B4601480E489E799645516C5715C0A8D3F37F8CB33EDA903CF136D" TargetMode = "External"/>
	<Relationship Id="rId20" Type="http://schemas.openxmlformats.org/officeDocument/2006/relationships/hyperlink" Target="consultantplus://offline/ref=122B2DAF6F2E10F290C282E3CF5A95D32389B721A487826C3F86BBC82384833B4601480E489872C7161E6D0B519DBBD2FA7F8FB222FD3AD" TargetMode = "External"/>
	<Relationship Id="rId21" Type="http://schemas.openxmlformats.org/officeDocument/2006/relationships/hyperlink" Target="consultantplus://offline/ref=122B2DAF6F2E10F290C282E3CF5A95D32582B325A387826C3F86BBC82384833B4601480E489E799246516C5715C0A8D3F37F8CB33EDA903CF136D" TargetMode = "External"/>
	<Relationship Id="rId22" Type="http://schemas.openxmlformats.org/officeDocument/2006/relationships/hyperlink" Target="consultantplus://offline/ref=122B2DAF6F2E10F290C282E3CF5A95D32483BD2DA08B826C3F86BBC82384833B4601480E489E799642516C5715C0A8D3F37F8CB33EDA903CF136D" TargetMode = "External"/>
	<Relationship Id="rId23" Type="http://schemas.openxmlformats.org/officeDocument/2006/relationships/hyperlink" Target="consultantplus://offline/ref=122B2DAF6F2E10F290C282E3CF5A95D32389B721A487826C3F86BBC82384833B4601480E489E7C9745516C5715C0A8D3F37F8CB33EDA903CF136D" TargetMode = "External"/>
	<Relationship Id="rId24" Type="http://schemas.openxmlformats.org/officeDocument/2006/relationships/hyperlink" Target="consultantplus://offline/ref=122B2DAF6F2E10F290C282E3CF5A95D32389B721A487826C3F86BBC82384833B4601480E489972C7161E6D0B519DBBD2FA7F8FB222FD3AD" TargetMode = "External"/>
	<Relationship Id="rId25" Type="http://schemas.openxmlformats.org/officeDocument/2006/relationships/hyperlink" Target="consultantplus://offline/ref=122B2DAF6F2E10F290C282E3CF5A95D3248CB420A58B826C3F86BBC82384833B4601480E489E799342516C5715C0A8D3F37F8CB33EDA903CF136D" TargetMode = "External"/>
	<Relationship Id="rId26" Type="http://schemas.openxmlformats.org/officeDocument/2006/relationships/hyperlink" Target="consultantplus://offline/ref=122B2DAF6F2E10F290C282E3CF5A95D32389B721A487826C3F86BBC82384833B4601480E489E7C9743516C5715C0A8D3F37F8CB33EDA903CF136D" TargetMode = "External"/>
	<Relationship Id="rId27" Type="http://schemas.openxmlformats.org/officeDocument/2006/relationships/hyperlink" Target="consultantplus://offline/ref=122B2DAF6F2E10F290C282E3CF5A95D32389B320A38C826C3F86BBC82384833B4601480E489E799341516C5715C0A8D3F37F8CB33EDA903CF136D" TargetMode = "External"/>
	<Relationship Id="rId28" Type="http://schemas.openxmlformats.org/officeDocument/2006/relationships/hyperlink" Target="consultantplus://offline/ref=122B2DAF6F2E10F290C282E3CF5A95D3248AB22DA486826C3F86BBC82384833B540110024896679246443A0653F937D" TargetMode = "External"/>
	<Relationship Id="rId29" Type="http://schemas.openxmlformats.org/officeDocument/2006/relationships/hyperlink" Target="consultantplus://offline/ref=122B2DAF6F2E10F290C282E3CF5A95D32389B721A58D826C3F86BBC82384833B4601480E489E7C9546516C5715C0A8D3F37F8CB33EDA903CF136D" TargetMode = "External"/>
	<Relationship Id="rId30" Type="http://schemas.openxmlformats.org/officeDocument/2006/relationships/hyperlink" Target="consultantplus://offline/ref=122B2DAF6F2E10F290C282E3CF5A95D32389B721A58D826C3F86BBC82384833B4601480E489E7F9A47516C5715C0A8D3F37F8CB33EDA903CF136D" TargetMode = "External"/>
	<Relationship Id="rId31" Type="http://schemas.openxmlformats.org/officeDocument/2006/relationships/hyperlink" Target="consultantplus://offline/ref=122B2DAF6F2E10F290C282E3CF5A95D32389B721A58D826C3F86BBC82384833B4601480E489E7C954E516C5715C0A8D3F37F8CB33EDA903CF136D" TargetMode = "External"/>
	<Relationship Id="rId32" Type="http://schemas.openxmlformats.org/officeDocument/2006/relationships/hyperlink" Target="consultantplus://offline/ref=122B2DAF6F2E10F290C282E3CF5A95D32389B721A58D826C3F86BBC82384833B4601480E489E7C9442516C5715C0A8D3F37F8CB33EDA903CF136D" TargetMode = "External"/>
	<Relationship Id="rId33" Type="http://schemas.openxmlformats.org/officeDocument/2006/relationships/hyperlink" Target="consultantplus://offline/ref=122B2DAF6F2E10F290C282E3CF5A95D32389B721A58D826C3F86BBC82384833B4601480E489E7C9440516C5715C0A8D3F37F8CB33EDA903CF136D" TargetMode = "External"/>
	<Relationship Id="rId34" Type="http://schemas.openxmlformats.org/officeDocument/2006/relationships/hyperlink" Target="consultantplus://offline/ref=122B2DAF6F2E10F290C282E3CF5A95D32582B325A387826C3F86BBC82384833B4601480E489E799245516C5715C0A8D3F37F8CB33EDA903CF136D" TargetMode = "External"/>
	<Relationship Id="rId35" Type="http://schemas.openxmlformats.org/officeDocument/2006/relationships/hyperlink" Target="consultantplus://offline/ref=122B2DAF6F2E10F290C282E3CF5A95D32389B721A487826C3F86BBC82384833B4601480E499E72C7161E6D0B519DBBD2FA7F8FB222FD3AD" TargetMode = "External"/>
	<Relationship Id="rId36" Type="http://schemas.openxmlformats.org/officeDocument/2006/relationships/hyperlink" Target="consultantplus://offline/ref=122B2DAF6F2E10F290C282E3CF5A95D32488BC26A084DF6637DFB7CA248BDC2C4148440F489E7F974C0E69420498A5DBE5608CAC22D892F33CD" TargetMode = "External"/>
	<Relationship Id="rId37" Type="http://schemas.openxmlformats.org/officeDocument/2006/relationships/hyperlink" Target="consultantplus://offline/ref=122B2DAF6F2E10F290C282E3CF5A95D32483BD2DA08B826C3F86BBC82384833B4601480E489E799644516C5715C0A8D3F37F8CB33EDA903CF136D" TargetMode = "External"/>
	<Relationship Id="rId38" Type="http://schemas.openxmlformats.org/officeDocument/2006/relationships/hyperlink" Target="consultantplus://offline/ref=122B2DAF6F2E10F290C282E3CF5A95D3248CB72DA08F826C3F86BBC82384833B4601480E489E79974E516C5715C0A8D3F37F8CB33EDA903CF136D" TargetMode = "External"/>
	<Relationship Id="rId39" Type="http://schemas.openxmlformats.org/officeDocument/2006/relationships/hyperlink" Target="consultantplus://offline/ref=122B2DAF6F2E10F290C282E3CF5A95D3238AB423AE8D826C3F86BBC82384833B4601480E489E79964F516C5715C0A8D3F37F8CB33EDA903CF136D" TargetMode = "External"/>
	<Relationship Id="rId40" Type="http://schemas.openxmlformats.org/officeDocument/2006/relationships/hyperlink" Target="consultantplus://offline/ref=122B2DAF6F2E10F290C282E3CF5A95D32389B721A487826C3F86BBC82384833B4601480E489F7F9743516C5715C0A8D3F37F8CB33EDA903CF136D" TargetMode = "External"/>
	<Relationship Id="rId41" Type="http://schemas.openxmlformats.org/officeDocument/2006/relationships/hyperlink" Target="consultantplus://offline/ref=122B2DAF6F2E10F290C282E3CF5A95D32389B721A487826C3F86BBC82384833B4601480E499E72C7161E6D0B519DBBD2FA7F8FB222FD3A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27.12.2016 N 1663
(ред. от 15.08.2022)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dc:title>
  <dcterms:created xsi:type="dcterms:W3CDTF">2022-11-08T03:55:02Z</dcterms:created>
</cp:coreProperties>
</file>